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95" w:rsidRPr="006669E7" w:rsidRDefault="00DE2E95" w:rsidP="00695B47">
      <w:pPr>
        <w:pStyle w:val="AralkYok"/>
        <w:spacing w:line="320" w:lineRule="exact"/>
        <w:ind w:firstLine="708"/>
        <w:rPr>
          <w:rFonts w:cs="Arial"/>
          <w:b/>
          <w:color w:val="000000"/>
          <w:sz w:val="24"/>
          <w:szCs w:val="24"/>
        </w:rPr>
      </w:pPr>
      <w:r w:rsidRPr="006669E7">
        <w:rPr>
          <w:rFonts w:cs="Arial"/>
          <w:b/>
          <w:color w:val="000000"/>
          <w:sz w:val="24"/>
          <w:szCs w:val="24"/>
        </w:rPr>
        <w:t>GAZİANTEP</w:t>
      </w:r>
      <w:r w:rsidR="00CF2352">
        <w:rPr>
          <w:rFonts w:cs="Arial"/>
          <w:b/>
          <w:color w:val="000000"/>
          <w:sz w:val="24"/>
          <w:szCs w:val="24"/>
        </w:rPr>
        <w:tab/>
      </w:r>
      <w:r w:rsidR="00CF2352">
        <w:rPr>
          <w:rFonts w:cs="Arial"/>
          <w:b/>
          <w:color w:val="000000"/>
          <w:sz w:val="24"/>
          <w:szCs w:val="24"/>
        </w:rPr>
        <w:tab/>
      </w:r>
      <w:r w:rsidR="00CF2352">
        <w:rPr>
          <w:rFonts w:cs="Arial"/>
          <w:b/>
          <w:color w:val="000000"/>
          <w:sz w:val="24"/>
          <w:szCs w:val="24"/>
        </w:rPr>
        <w:tab/>
      </w:r>
      <w:r w:rsidR="00CF2352">
        <w:rPr>
          <w:rFonts w:cs="Arial"/>
          <w:b/>
          <w:color w:val="000000"/>
          <w:sz w:val="24"/>
          <w:szCs w:val="24"/>
        </w:rPr>
        <w:tab/>
      </w:r>
      <w:r w:rsidR="00CF2352">
        <w:rPr>
          <w:rFonts w:cs="Arial"/>
          <w:b/>
          <w:color w:val="000000"/>
          <w:sz w:val="24"/>
          <w:szCs w:val="24"/>
        </w:rPr>
        <w:tab/>
      </w:r>
      <w:r w:rsidR="00CF2352">
        <w:rPr>
          <w:rFonts w:cs="Arial"/>
          <w:b/>
          <w:color w:val="000000"/>
          <w:sz w:val="24"/>
          <w:szCs w:val="24"/>
        </w:rPr>
        <w:tab/>
      </w:r>
      <w:r w:rsidR="00CF2352">
        <w:rPr>
          <w:rFonts w:cs="Arial"/>
          <w:b/>
          <w:color w:val="000000"/>
          <w:sz w:val="24"/>
          <w:szCs w:val="24"/>
        </w:rPr>
        <w:tab/>
      </w:r>
      <w:r w:rsidR="00CF2352">
        <w:rPr>
          <w:rFonts w:cs="Arial"/>
          <w:b/>
          <w:color w:val="000000"/>
          <w:sz w:val="24"/>
          <w:szCs w:val="24"/>
        </w:rPr>
        <w:tab/>
      </w:r>
      <w:r w:rsidR="00CF2352">
        <w:rPr>
          <w:rFonts w:cs="Arial"/>
          <w:b/>
          <w:color w:val="000000"/>
          <w:sz w:val="24"/>
          <w:szCs w:val="24"/>
        </w:rPr>
        <w:tab/>
      </w:r>
      <w:r w:rsidR="00CF2352">
        <w:rPr>
          <w:rFonts w:cs="Arial"/>
          <w:b/>
          <w:color w:val="000000"/>
          <w:sz w:val="24"/>
          <w:szCs w:val="24"/>
        </w:rPr>
        <w:tab/>
      </w:r>
      <w:proofErr w:type="gramStart"/>
      <w:r w:rsidR="00CF2352" w:rsidRPr="00695B47">
        <w:rPr>
          <w:rFonts w:cs="Arial"/>
          <w:color w:val="000000"/>
          <w:sz w:val="24"/>
          <w:szCs w:val="24"/>
        </w:rPr>
        <w:t>......</w:t>
      </w:r>
      <w:proofErr w:type="gramEnd"/>
      <w:r w:rsidR="00CF2352" w:rsidRPr="00695B47">
        <w:rPr>
          <w:rFonts w:cs="Arial"/>
          <w:color w:val="000000"/>
          <w:sz w:val="24"/>
          <w:szCs w:val="24"/>
        </w:rPr>
        <w:t>/......./2019</w:t>
      </w:r>
    </w:p>
    <w:p w:rsidR="00DE2E95" w:rsidRPr="006669E7" w:rsidRDefault="00DE2E95" w:rsidP="00695B47">
      <w:pPr>
        <w:pStyle w:val="AralkYok"/>
        <w:spacing w:line="320" w:lineRule="exact"/>
        <w:ind w:firstLine="708"/>
        <w:rPr>
          <w:rFonts w:cs="Arial"/>
          <w:b/>
          <w:color w:val="000000"/>
          <w:sz w:val="24"/>
          <w:szCs w:val="24"/>
        </w:rPr>
      </w:pPr>
      <w:bookmarkStart w:id="0" w:name="_GoBack"/>
      <w:bookmarkEnd w:id="0"/>
      <w:r w:rsidRPr="006669E7">
        <w:rPr>
          <w:rFonts w:cs="Arial"/>
          <w:b/>
          <w:color w:val="000000"/>
          <w:sz w:val="24"/>
          <w:szCs w:val="24"/>
        </w:rPr>
        <w:t>BÜYÜKŞEHİR BELEDİYE BAŞKANLIĞI</w:t>
      </w:r>
    </w:p>
    <w:p w:rsidR="00DE2E95" w:rsidRPr="006669E7" w:rsidRDefault="00DE2E95" w:rsidP="00695B47">
      <w:pPr>
        <w:pStyle w:val="AralkYok"/>
        <w:spacing w:line="320" w:lineRule="exact"/>
        <w:ind w:left="2832" w:firstLine="708"/>
        <w:rPr>
          <w:rFonts w:cs="Calibri"/>
          <w:b/>
          <w:color w:val="000000"/>
          <w:sz w:val="24"/>
          <w:szCs w:val="24"/>
        </w:rPr>
      </w:pPr>
      <w:r w:rsidRPr="006669E7">
        <w:rPr>
          <w:rFonts w:cs="Arial"/>
          <w:b/>
          <w:color w:val="000000"/>
          <w:sz w:val="24"/>
          <w:szCs w:val="24"/>
        </w:rPr>
        <w:t>GAZİANTEP</w:t>
      </w:r>
    </w:p>
    <w:p w:rsidR="00DE2E95" w:rsidRDefault="00DE2E95" w:rsidP="00695B47">
      <w:pPr>
        <w:spacing w:line="320" w:lineRule="exact"/>
        <w:ind w:firstLine="454"/>
        <w:rPr>
          <w:rFonts w:ascii="Calibri" w:hAnsi="Calibri"/>
          <w:color w:val="000000"/>
          <w:szCs w:val="24"/>
        </w:rPr>
      </w:pPr>
    </w:p>
    <w:p w:rsidR="00DE2E95" w:rsidRPr="00EC1ED1" w:rsidRDefault="00DE2E95" w:rsidP="00695B47">
      <w:pPr>
        <w:spacing w:line="320" w:lineRule="exact"/>
        <w:ind w:firstLine="454"/>
        <w:rPr>
          <w:rFonts w:ascii="Calibri" w:hAnsi="Calibri"/>
          <w:color w:val="000000"/>
          <w:szCs w:val="24"/>
        </w:rPr>
      </w:pPr>
      <w:r w:rsidRPr="00EC1ED1">
        <w:rPr>
          <w:rFonts w:ascii="Calibri" w:hAnsi="Calibri"/>
          <w:color w:val="000000"/>
          <w:szCs w:val="24"/>
        </w:rPr>
        <w:t>Konu: Gaziantep Büyükşehir Belediye Meclisi’nin 13.09.2019 Tarih ve 301 Sayılı Kararına İtirazımız Hak.</w:t>
      </w:r>
    </w:p>
    <w:p w:rsidR="00DE2E95" w:rsidRPr="00EC1ED1" w:rsidRDefault="00DE2E95" w:rsidP="00695B47">
      <w:pPr>
        <w:spacing w:line="320" w:lineRule="exact"/>
        <w:ind w:firstLine="454"/>
        <w:rPr>
          <w:rFonts w:ascii="Calibri" w:hAnsi="Calibri"/>
          <w:color w:val="000000"/>
          <w:szCs w:val="24"/>
        </w:rPr>
      </w:pPr>
    </w:p>
    <w:p w:rsidR="00DE2E95" w:rsidRPr="00EC1ED1" w:rsidRDefault="00DE2E95" w:rsidP="00695B47">
      <w:pPr>
        <w:spacing w:line="320" w:lineRule="exact"/>
        <w:ind w:firstLine="454"/>
        <w:rPr>
          <w:rFonts w:ascii="Calibri" w:hAnsi="Calibri"/>
          <w:color w:val="000000"/>
          <w:szCs w:val="24"/>
        </w:rPr>
      </w:pPr>
      <w:proofErr w:type="gramStart"/>
      <w:r w:rsidRPr="00EC1ED1">
        <w:rPr>
          <w:rFonts w:ascii="Calibri" w:hAnsi="Calibri"/>
          <w:color w:val="000000"/>
          <w:szCs w:val="24"/>
        </w:rPr>
        <w:t>Şehitkamil</w:t>
      </w:r>
      <w:proofErr w:type="gramEnd"/>
      <w:r w:rsidRPr="00EC1ED1">
        <w:rPr>
          <w:rFonts w:ascii="Calibri" w:hAnsi="Calibri"/>
          <w:color w:val="000000"/>
          <w:szCs w:val="24"/>
        </w:rPr>
        <w:t xml:space="preserve"> İlçesi, </w:t>
      </w:r>
      <w:proofErr w:type="spellStart"/>
      <w:r w:rsidRPr="00EC1ED1">
        <w:rPr>
          <w:rFonts w:ascii="Calibri" w:hAnsi="Calibri"/>
          <w:color w:val="000000"/>
          <w:szCs w:val="24"/>
        </w:rPr>
        <w:t>İncilipınar</w:t>
      </w:r>
      <w:proofErr w:type="spellEnd"/>
      <w:r w:rsidRPr="00EC1ED1">
        <w:rPr>
          <w:rFonts w:ascii="Calibri" w:hAnsi="Calibri"/>
          <w:color w:val="000000"/>
          <w:szCs w:val="24"/>
        </w:rPr>
        <w:t xml:space="preserve"> Mahallesi N38-C3, N38c-18c, 18d nazım ve N38c-18d-2c, 2d N38c-18c-1a, 1d uygulama imar paftalarında Revizyon Nazım ve Uygulama imar planı, Büyükşehir Belediye Meclisi’nin 13.09.2019 tarih ve 301 sayılı kararı ile uygun görülmüştür.</w:t>
      </w:r>
    </w:p>
    <w:p w:rsidR="00DE2E95" w:rsidRPr="00EC1ED1" w:rsidRDefault="00DE2E95" w:rsidP="00695B47">
      <w:pPr>
        <w:spacing w:line="320" w:lineRule="exact"/>
        <w:ind w:firstLine="454"/>
        <w:rPr>
          <w:rFonts w:ascii="Calibri" w:hAnsi="Calibri"/>
          <w:color w:val="000000"/>
          <w:szCs w:val="24"/>
        </w:rPr>
      </w:pPr>
      <w:r w:rsidRPr="00EC1ED1">
        <w:rPr>
          <w:rFonts w:ascii="Calibri" w:hAnsi="Calibri"/>
          <w:color w:val="000000"/>
          <w:szCs w:val="24"/>
        </w:rPr>
        <w:t>Yapılan Plan tadilatında;</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Üst ölçek planlara aykırılık bulunmaktadır.</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Üst ölçek planlar 1/25.000, 1/5000 ve 1/1000 ölçekli planların aynı kararla geçmesi mevzuata aykırıdır.</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 xml:space="preserve">Yapılan plan tadilatı Gaziantep valiliğinin önünden de geçen kentin en önemli arterlerinden biri olan Prof. Muammer Aksoy Bulvarının trafiğe kapatılması, alternatif olarak tali yan yollar önerilmesi, bu hususta plan raporunda bir değerlendirme olmaması mevzuata, akla ve mantığa, şehircilik ilkelerine aykırıdır. Bu haliyle bile bölgede sıkıntılı olan trafik akışı, bu uygulamadan sonra içinden çıkılmaz hale dönüşecektir. </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 xml:space="preserve">TOKİ tarafından ihalesinin 30 Ekim 2019’da yapılacağı duyurulan, önerilen Millet Bahçesi içinde yer alan ticari kısımlar ve otopark inşaatları planlara aykırıdır. </w:t>
      </w:r>
    </w:p>
    <w:p w:rsidR="00DE2E95" w:rsidRPr="00EC1ED1" w:rsidRDefault="00DE2E95" w:rsidP="00695B47">
      <w:pPr>
        <w:pStyle w:val="ListeParagraf"/>
        <w:spacing w:after="0" w:line="320" w:lineRule="exact"/>
        <w:ind w:left="454"/>
        <w:jc w:val="both"/>
        <w:rPr>
          <w:color w:val="000000"/>
          <w:sz w:val="24"/>
          <w:szCs w:val="24"/>
        </w:rPr>
      </w:pPr>
      <w:r w:rsidRPr="00EC1ED1">
        <w:rPr>
          <w:color w:val="000000"/>
          <w:sz w:val="24"/>
          <w:szCs w:val="24"/>
        </w:rPr>
        <w:t>Şöyle ki;</w:t>
      </w:r>
    </w:p>
    <w:p w:rsidR="00DE2E95" w:rsidRPr="00EC1ED1" w:rsidRDefault="00DE2E95" w:rsidP="00695B47">
      <w:pPr>
        <w:pStyle w:val="ListeParagraf"/>
        <w:numPr>
          <w:ilvl w:val="0"/>
          <w:numId w:val="2"/>
        </w:numPr>
        <w:spacing w:after="0" w:line="320" w:lineRule="exact"/>
        <w:ind w:left="738" w:hanging="284"/>
        <w:jc w:val="both"/>
        <w:rPr>
          <w:color w:val="000000"/>
          <w:sz w:val="24"/>
          <w:szCs w:val="24"/>
        </w:rPr>
      </w:pPr>
      <w:r w:rsidRPr="00EC1ED1">
        <w:rPr>
          <w:color w:val="000000"/>
          <w:sz w:val="24"/>
          <w:szCs w:val="24"/>
        </w:rPr>
        <w:t>Mevcut plandaki yollara göre çizildiğinden ve alan planda spor alanı olarak görüldüğünden belediyemiz tarafından ihale durdurulmalıdır. İnşaata başlanmasına izin verilmemelidir.</w:t>
      </w:r>
    </w:p>
    <w:p w:rsidR="00DE2E95" w:rsidRPr="00EC1ED1" w:rsidRDefault="00DE2E95" w:rsidP="00695B47">
      <w:pPr>
        <w:pStyle w:val="ListeParagraf"/>
        <w:numPr>
          <w:ilvl w:val="0"/>
          <w:numId w:val="2"/>
        </w:numPr>
        <w:spacing w:after="0" w:line="320" w:lineRule="exact"/>
        <w:ind w:left="738" w:hanging="284"/>
        <w:jc w:val="both"/>
        <w:rPr>
          <w:color w:val="000000"/>
          <w:sz w:val="24"/>
          <w:szCs w:val="24"/>
        </w:rPr>
      </w:pPr>
      <w:r w:rsidRPr="00EC1ED1">
        <w:rPr>
          <w:color w:val="000000"/>
          <w:sz w:val="24"/>
          <w:szCs w:val="24"/>
        </w:rPr>
        <w:t>Revizyon plana göre tasarlandı ve ihale ediliyorsa vaziyet planı plan ile uyumsuzdur.</w:t>
      </w:r>
    </w:p>
    <w:p w:rsidR="00DE2E95" w:rsidRPr="00EC1ED1" w:rsidRDefault="00DE2E95" w:rsidP="00695B47">
      <w:pPr>
        <w:pStyle w:val="ListeParagraf"/>
        <w:numPr>
          <w:ilvl w:val="0"/>
          <w:numId w:val="2"/>
        </w:numPr>
        <w:spacing w:after="0" w:line="320" w:lineRule="exact"/>
        <w:ind w:left="738" w:hanging="284"/>
        <w:jc w:val="both"/>
        <w:rPr>
          <w:color w:val="000000"/>
          <w:sz w:val="24"/>
          <w:szCs w:val="24"/>
        </w:rPr>
      </w:pPr>
      <w:r w:rsidRPr="00EC1ED1">
        <w:rPr>
          <w:color w:val="000000"/>
          <w:sz w:val="24"/>
          <w:szCs w:val="24"/>
        </w:rPr>
        <w:t>Arkeoloji müzesini kapatması ve çevredeki yapılar ve ulaşım ilişkileri yönünden değerlendirmeler yapılmamıştır.</w:t>
      </w:r>
    </w:p>
    <w:p w:rsidR="00DE2E95" w:rsidRPr="00EC1ED1" w:rsidRDefault="00DE2E95" w:rsidP="00695B47">
      <w:pPr>
        <w:pStyle w:val="ListeParagraf"/>
        <w:numPr>
          <w:ilvl w:val="0"/>
          <w:numId w:val="2"/>
        </w:numPr>
        <w:spacing w:after="0" w:line="320" w:lineRule="exact"/>
        <w:ind w:left="738" w:hanging="284"/>
        <w:jc w:val="both"/>
        <w:rPr>
          <w:color w:val="000000"/>
          <w:sz w:val="24"/>
          <w:szCs w:val="24"/>
        </w:rPr>
      </w:pPr>
      <w:r w:rsidRPr="00EC1ED1">
        <w:rPr>
          <w:color w:val="000000"/>
          <w:sz w:val="24"/>
          <w:szCs w:val="24"/>
        </w:rPr>
        <w:t>Yollar ve konumlandırmada arazi ve yol kotlarına dikkat edilmemiştir.</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Valilik Binasının belediye meclisindeki konuşmalarda “25 yıllık ekonomik ömrünü doldurması” değerlendirmesi dile getirilmiş olup, böyle bir şey söz konusu olamaz. Betonarme binaların ömrü oldukça uzundur. Ayrıca tarihte yenisi yapılmadan boşaltılıp yıkılmak istenen başka bir Valilik Binası bulunmamaktadır. Bu durumda mevzuata aykırıdır. Bilinmeyen bir sebep var is bu kamuoyuna açıklanmalıdır.</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 xml:space="preserve">Kentin en önemli yeşil alan kullanımının yeni yapılacak Millet Bahçesi ile birleştirilmesi yine mevzuata aykırıdır. </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Arkeoloji Müzesi önüne planlanan ticari alanın yeri yanlıştır. Bu kısma planlanan ticari alanın inşaat alanının her ne kadar 5000 m² olduğu görülse de, bu ticari alanın kullanımı için ayrılacak olan ön bahçeler, masa, sandalye, şemsiye yerleri vb. ek kullanımlardan dolayı 17.000 m²’ye çıkmaktadır. Bu nedenle Arkeoloji müzesi arkada saklı kalıp, kullanımında sıkıntılar oluşacaktır. Aslında müzelere doğrudan girişi sağlamak, gelen yerli ve yabancı turistlere müzeye girişi kolaylaştırmak gerekirken, bu uygulama ile müzenin görülmesinde, girişinde ve kullanımında sıkıntılar yaşanacaktır.</w:t>
      </w:r>
    </w:p>
    <w:p w:rsidR="00DE2E95" w:rsidRPr="00A31D01" w:rsidRDefault="00DE2E95" w:rsidP="00695B47">
      <w:pPr>
        <w:pStyle w:val="ListeParagraf"/>
        <w:numPr>
          <w:ilvl w:val="0"/>
          <w:numId w:val="1"/>
        </w:numPr>
        <w:spacing w:after="0" w:line="320" w:lineRule="exact"/>
        <w:ind w:left="454" w:hanging="284"/>
        <w:jc w:val="both"/>
        <w:rPr>
          <w:color w:val="000000"/>
          <w:sz w:val="24"/>
          <w:szCs w:val="24"/>
        </w:rPr>
      </w:pPr>
      <w:r w:rsidRPr="00A31D01">
        <w:rPr>
          <w:color w:val="000000"/>
          <w:sz w:val="24"/>
          <w:szCs w:val="24"/>
        </w:rPr>
        <w:t xml:space="preserve">İmar planında valilik binasının ve arkasında yer alan yeşil alanların bulunduğu kısımda cami alanı planlandığı, 1/1.000 ölçekli uygulama imar planında görülebilmektedir. İşaretli alan oldukça büyük bir oturuma işaret etmektedir. (135x155 m. civarında) Oturum alanı, Gaziantep Kalesi’nden daha büyük bir alana işaret ettiği gibi; tarihsel olarak büyük öneme sahip pek çok camiden çok daha büyük görünmektedir. Böylesine büyük bir alanın tamamının kapalı olarak mı planlandığı, yoksa caminin ibadet alanı, külliyesi, müştemilatları ve bahçesinin oluşturduğu alanların tümünün mü yaklaşık 21.000 </w:t>
      </w:r>
      <w:r w:rsidRPr="00A31D01">
        <w:rPr>
          <w:rFonts w:eastAsia="Times New Roman" w:cs="Calibri"/>
          <w:color w:val="000000"/>
          <w:sz w:val="24"/>
          <w:szCs w:val="24"/>
          <w:lang w:eastAsia="tr-TR"/>
        </w:rPr>
        <w:t>m</w:t>
      </w:r>
      <w:r w:rsidRPr="00A31D01">
        <w:rPr>
          <w:rFonts w:eastAsia="Times New Roman" w:cs="Calibri"/>
          <w:color w:val="000000"/>
          <w:sz w:val="24"/>
          <w:szCs w:val="24"/>
          <w:vertAlign w:val="superscript"/>
          <w:lang w:eastAsia="tr-TR"/>
        </w:rPr>
        <w:t>2</w:t>
      </w:r>
      <w:r w:rsidRPr="00A31D01">
        <w:rPr>
          <w:color w:val="000000"/>
          <w:sz w:val="24"/>
          <w:szCs w:val="24"/>
        </w:rPr>
        <w:t xml:space="preserve">’lik bu alanı kapsadığı belirsizdir. Diğer yandan eğer böylesine büyük kapasiteli, anıtsal bir cami yapılıyorsa, yer seçiminin hangi </w:t>
      </w:r>
      <w:proofErr w:type="gramStart"/>
      <w:r w:rsidRPr="00A31D01">
        <w:rPr>
          <w:color w:val="000000"/>
          <w:sz w:val="24"/>
          <w:szCs w:val="24"/>
        </w:rPr>
        <w:t>kriterlere</w:t>
      </w:r>
      <w:proofErr w:type="gramEnd"/>
      <w:r w:rsidRPr="00A31D01">
        <w:rPr>
          <w:color w:val="000000"/>
          <w:sz w:val="24"/>
          <w:szCs w:val="24"/>
        </w:rPr>
        <w:t xml:space="preserve"> göre yapıldığı, Millet Bahçesi’yle ilişkisinin nasıl kurulacağı, kale siluetiyle ilişkisinin nasıl olacağı, yoğun yaya ve araç trafiğinin nasıl yönetileceğiyle ilgili bilgilere de yer verilmesi </w:t>
      </w:r>
      <w:r w:rsidRPr="00A31D01">
        <w:rPr>
          <w:color w:val="000000"/>
          <w:sz w:val="24"/>
          <w:szCs w:val="24"/>
        </w:rPr>
        <w:lastRenderedPageBreak/>
        <w:t>uygun olacaktır. Ancak Gaziantep’in çok önemli tarihsel ve kültürel merkezlerinin eşiğinde yapılacak bu yapıyla ilgili bilgiler ve analizler bulunmamaktadır.</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 xml:space="preserve">Yapılan </w:t>
      </w:r>
      <w:proofErr w:type="gramStart"/>
      <w:r w:rsidRPr="00EC1ED1">
        <w:rPr>
          <w:color w:val="000000"/>
          <w:sz w:val="24"/>
          <w:szCs w:val="24"/>
        </w:rPr>
        <w:t>revizyon</w:t>
      </w:r>
      <w:proofErr w:type="gramEnd"/>
      <w:r w:rsidRPr="00EC1ED1">
        <w:rPr>
          <w:color w:val="000000"/>
          <w:sz w:val="24"/>
          <w:szCs w:val="24"/>
        </w:rPr>
        <w:t xml:space="preserve"> kentin tüm kutlamalarının ve resmi bayram töreni özel gün kutlamalarının yapılması yanında, 15 Temmuz Demokrasi Meydanını ortadan kaldırmakta küçültmekte ve kadük bırakmaktadır.</w:t>
      </w:r>
    </w:p>
    <w:p w:rsidR="00DE2E95" w:rsidRPr="00EC1ED1" w:rsidRDefault="00DE2E95" w:rsidP="00695B47">
      <w:pPr>
        <w:pStyle w:val="ListeParagraf"/>
        <w:numPr>
          <w:ilvl w:val="0"/>
          <w:numId w:val="1"/>
        </w:numPr>
        <w:spacing w:after="0" w:line="320" w:lineRule="exact"/>
        <w:ind w:left="454" w:hanging="284"/>
        <w:jc w:val="both"/>
        <w:rPr>
          <w:color w:val="000000"/>
          <w:sz w:val="24"/>
          <w:szCs w:val="24"/>
        </w:rPr>
      </w:pPr>
      <w:r w:rsidRPr="00EC1ED1">
        <w:rPr>
          <w:color w:val="000000"/>
          <w:sz w:val="24"/>
          <w:szCs w:val="24"/>
        </w:rPr>
        <w:t>Planlı alanlar imar yönetmeliği açısından:</w:t>
      </w:r>
    </w:p>
    <w:p w:rsidR="00DE2E95" w:rsidRPr="00EC1ED1" w:rsidRDefault="00DE2E95" w:rsidP="00695B47">
      <w:pPr>
        <w:pStyle w:val="ListeParagraf"/>
        <w:spacing w:after="0" w:line="320" w:lineRule="exact"/>
        <w:ind w:left="454"/>
        <w:jc w:val="both"/>
        <w:rPr>
          <w:color w:val="000000"/>
          <w:sz w:val="24"/>
          <w:szCs w:val="24"/>
        </w:rPr>
      </w:pPr>
      <w:r w:rsidRPr="00EC1ED1">
        <w:rPr>
          <w:color w:val="000000"/>
          <w:sz w:val="24"/>
          <w:szCs w:val="24"/>
        </w:rPr>
        <w:t xml:space="preserve">PLANLI ALANLAR İMAR YÖNETMELİĞİ, </w:t>
      </w:r>
    </w:p>
    <w:p w:rsidR="00DE2E95" w:rsidRPr="00EC1ED1" w:rsidRDefault="00DE2E95" w:rsidP="00695B47">
      <w:pPr>
        <w:pStyle w:val="ListeParagraf"/>
        <w:spacing w:after="0" w:line="320" w:lineRule="exact"/>
        <w:ind w:left="454"/>
        <w:jc w:val="both"/>
        <w:rPr>
          <w:color w:val="000000"/>
          <w:sz w:val="24"/>
          <w:szCs w:val="24"/>
        </w:rPr>
      </w:pPr>
      <w:r w:rsidRPr="00EC1ED1">
        <w:rPr>
          <w:color w:val="000000"/>
          <w:sz w:val="24"/>
          <w:szCs w:val="24"/>
        </w:rPr>
        <w:t xml:space="preserve">Birinci Bölüm, </w:t>
      </w:r>
    </w:p>
    <w:p w:rsidR="00DE2E95" w:rsidRPr="00EC1ED1" w:rsidRDefault="00DE2E95" w:rsidP="00695B47">
      <w:pPr>
        <w:pStyle w:val="ListeParagraf"/>
        <w:spacing w:after="0" w:line="320" w:lineRule="exact"/>
        <w:ind w:left="454"/>
        <w:jc w:val="both"/>
        <w:rPr>
          <w:color w:val="000000"/>
          <w:sz w:val="24"/>
          <w:szCs w:val="24"/>
        </w:rPr>
      </w:pPr>
      <w:r w:rsidRPr="00EC1ED1">
        <w:rPr>
          <w:color w:val="000000"/>
          <w:sz w:val="24"/>
          <w:szCs w:val="24"/>
        </w:rPr>
        <w:t xml:space="preserve">Tanımlar Madde 4 – (1) Bu Yönetmelikte geçen; </w:t>
      </w:r>
      <w:r w:rsidRPr="00EC1ED1">
        <w:rPr>
          <w:rFonts w:eastAsia="Times New Roman" w:cs="Calibri"/>
          <w:b/>
          <w:color w:val="000000"/>
          <w:sz w:val="24"/>
          <w:szCs w:val="24"/>
          <w:lang w:eastAsia="tr-TR"/>
        </w:rPr>
        <w:t xml:space="preserve"> </w:t>
      </w:r>
    </w:p>
    <w:p w:rsidR="00DE2E95" w:rsidRPr="00EC1ED1" w:rsidRDefault="00DE2E95" w:rsidP="00695B47">
      <w:pPr>
        <w:pStyle w:val="ListeParagraf"/>
        <w:spacing w:after="0" w:line="320" w:lineRule="exact"/>
        <w:ind w:left="454"/>
        <w:jc w:val="both"/>
        <w:rPr>
          <w:color w:val="000000"/>
          <w:sz w:val="24"/>
          <w:szCs w:val="24"/>
        </w:rPr>
      </w:pPr>
      <w:proofErr w:type="spellStart"/>
      <w:r w:rsidRPr="00EC1ED1">
        <w:rPr>
          <w:rFonts w:eastAsia="Times New Roman" w:cs="Calibri"/>
          <w:b/>
          <w:color w:val="000000"/>
          <w:sz w:val="24"/>
          <w:szCs w:val="24"/>
          <w:lang w:eastAsia="tr-TR"/>
        </w:rPr>
        <w:t>vvvv</w:t>
      </w:r>
      <w:proofErr w:type="spellEnd"/>
      <w:r w:rsidRPr="00EC1ED1">
        <w:rPr>
          <w:rFonts w:eastAsia="Times New Roman" w:cs="Calibri"/>
          <w:b/>
          <w:color w:val="000000"/>
          <w:sz w:val="24"/>
          <w:szCs w:val="24"/>
          <w:lang w:eastAsia="tr-TR"/>
        </w:rPr>
        <w:t>)   Yeşil alanlar:</w:t>
      </w:r>
      <w:r w:rsidRPr="00EC1ED1">
        <w:rPr>
          <w:rFonts w:eastAsia="Times New Roman" w:cs="Calibri"/>
          <w:color w:val="000000"/>
          <w:sz w:val="24"/>
          <w:szCs w:val="24"/>
          <w:lang w:eastAsia="tr-TR"/>
        </w:rPr>
        <w:t xml:space="preserve"> Toplumun yararlanması için ayrılan oyun bahçesi, çocuk bahçesi, dinlenme, gezinti, piknik, eğlence, </w:t>
      </w:r>
      <w:proofErr w:type="gramStart"/>
      <w:r w:rsidRPr="00EC1ED1">
        <w:rPr>
          <w:rFonts w:eastAsia="Times New Roman" w:cs="Calibri"/>
          <w:color w:val="000000"/>
          <w:sz w:val="24"/>
          <w:szCs w:val="24"/>
          <w:lang w:eastAsia="tr-TR"/>
        </w:rPr>
        <w:t>rekreasyon</w:t>
      </w:r>
      <w:proofErr w:type="gramEnd"/>
      <w:r w:rsidRPr="00EC1ED1">
        <w:rPr>
          <w:rFonts w:eastAsia="Times New Roman" w:cs="Calibri"/>
          <w:color w:val="000000"/>
          <w:sz w:val="24"/>
          <w:szCs w:val="24"/>
          <w:lang w:eastAsia="tr-TR"/>
        </w:rPr>
        <w:t xml:space="preserve"> ve </w:t>
      </w:r>
      <w:proofErr w:type="spellStart"/>
      <w:r w:rsidRPr="00EC1ED1">
        <w:rPr>
          <w:rFonts w:eastAsia="Times New Roman" w:cs="Calibri"/>
          <w:color w:val="000000"/>
          <w:sz w:val="24"/>
          <w:szCs w:val="24"/>
          <w:lang w:eastAsia="tr-TR"/>
        </w:rPr>
        <w:t>rekreaktif</w:t>
      </w:r>
      <w:proofErr w:type="spellEnd"/>
      <w:r w:rsidRPr="00EC1ED1">
        <w:rPr>
          <w:rFonts w:eastAsia="Times New Roman" w:cs="Calibri"/>
          <w:color w:val="000000"/>
          <w:sz w:val="24"/>
          <w:szCs w:val="24"/>
          <w:lang w:eastAsia="tr-TR"/>
        </w:rPr>
        <w:t xml:space="preserve"> alanları toplamını (Metropol ölçekteki fuar, botanik ve hayvan bahçeleri ile bölgesel parklar bu alanlar kapsamındadır.), 19 uncu maddede yer alan işlevleri ve yapılaşma koşullarını içeren yeşil alanlar;</w:t>
      </w:r>
    </w:p>
    <w:p w:rsidR="00DE2E95" w:rsidRPr="00EC1ED1" w:rsidRDefault="00DE2E95" w:rsidP="00695B47">
      <w:pPr>
        <w:pStyle w:val="ListeParagraf"/>
        <w:numPr>
          <w:ilvl w:val="0"/>
          <w:numId w:val="3"/>
        </w:numPr>
        <w:spacing w:after="0" w:line="320" w:lineRule="exact"/>
        <w:ind w:left="454" w:firstLine="0"/>
        <w:jc w:val="both"/>
        <w:rPr>
          <w:color w:val="000000"/>
          <w:sz w:val="24"/>
          <w:szCs w:val="24"/>
        </w:rPr>
      </w:pPr>
      <w:r w:rsidRPr="00EC1ED1">
        <w:rPr>
          <w:rFonts w:eastAsia="Times New Roman" w:cs="Calibri"/>
          <w:b/>
          <w:color w:val="000000"/>
          <w:sz w:val="24"/>
          <w:szCs w:val="24"/>
          <w:lang w:eastAsia="tr-TR"/>
        </w:rPr>
        <w:t xml:space="preserve"> Çocuk bahçeleri:</w:t>
      </w:r>
      <w:r w:rsidRPr="00EC1ED1">
        <w:rPr>
          <w:rFonts w:eastAsia="Times New Roman" w:cs="Calibri"/>
          <w:color w:val="000000"/>
          <w:sz w:val="24"/>
          <w:szCs w:val="24"/>
          <w:lang w:eastAsia="tr-TR"/>
        </w:rPr>
        <w:t xml:space="preserve"> Çocukların oyun ve dinlenme ihtiyaçlarını karşılayan, bitki örtüsü ile çocukların oyun için gerekli araç gereçleri, toplamda 6 m</w:t>
      </w:r>
      <w:r w:rsidRPr="00EC1ED1">
        <w:rPr>
          <w:rFonts w:eastAsia="Times New Roman" w:cs="Calibri"/>
          <w:color w:val="000000"/>
          <w:sz w:val="24"/>
          <w:szCs w:val="24"/>
          <w:vertAlign w:val="superscript"/>
          <w:lang w:eastAsia="tr-TR"/>
        </w:rPr>
        <w:t>2</w:t>
      </w:r>
      <w:r w:rsidRPr="00EC1ED1">
        <w:rPr>
          <w:rFonts w:eastAsia="Times New Roman" w:cs="Calibri"/>
          <w:color w:val="000000"/>
          <w:sz w:val="24"/>
          <w:szCs w:val="24"/>
          <w:lang w:eastAsia="tr-TR"/>
        </w:rPr>
        <w:t>’yi geçmeyen büfe ile süs havuzu, pergola ve genel tuvalet dışında başka tesis yapılamayan alanları,</w:t>
      </w:r>
    </w:p>
    <w:p w:rsidR="00DE2E95" w:rsidRPr="00EC1ED1" w:rsidRDefault="00DE2E95" w:rsidP="00695B47">
      <w:pPr>
        <w:pStyle w:val="ListeParagraf"/>
        <w:numPr>
          <w:ilvl w:val="0"/>
          <w:numId w:val="3"/>
        </w:numPr>
        <w:spacing w:after="0" w:line="320" w:lineRule="exact"/>
        <w:ind w:left="454" w:firstLine="0"/>
        <w:jc w:val="both"/>
        <w:rPr>
          <w:color w:val="000000"/>
          <w:sz w:val="24"/>
          <w:szCs w:val="24"/>
        </w:rPr>
      </w:pPr>
      <w:r w:rsidRPr="00EC1ED1">
        <w:rPr>
          <w:rFonts w:eastAsia="Times New Roman" w:cs="Calibri"/>
          <w:b/>
          <w:color w:val="000000"/>
          <w:sz w:val="24"/>
          <w:szCs w:val="24"/>
          <w:lang w:eastAsia="tr-TR"/>
        </w:rPr>
        <w:t xml:space="preserve"> Parklar:</w:t>
      </w:r>
      <w:r w:rsidRPr="00EC1ED1">
        <w:rPr>
          <w:rFonts w:eastAsia="Times New Roman" w:cs="Calibri"/>
          <w:color w:val="000000"/>
          <w:sz w:val="24"/>
          <w:szCs w:val="24"/>
          <w:lang w:eastAsia="tr-TR"/>
        </w:rPr>
        <w:t xml:space="preserve"> Kentte yaşayanların yeşil bitki örtüsü ile dinlenme ihtiyaçları için ayrılan, 19 uncu maddedeki kullanımlara da yer verilebilen alanları,</w:t>
      </w:r>
    </w:p>
    <w:p w:rsidR="00DE2E95" w:rsidRPr="00EC1ED1" w:rsidRDefault="00DE2E95" w:rsidP="00695B47">
      <w:pPr>
        <w:pStyle w:val="ListeParagraf"/>
        <w:numPr>
          <w:ilvl w:val="0"/>
          <w:numId w:val="3"/>
        </w:numPr>
        <w:spacing w:after="0" w:line="320" w:lineRule="exact"/>
        <w:ind w:left="454" w:firstLine="0"/>
        <w:jc w:val="both"/>
        <w:rPr>
          <w:color w:val="000000"/>
          <w:sz w:val="24"/>
          <w:szCs w:val="24"/>
        </w:rPr>
      </w:pPr>
      <w:r w:rsidRPr="00EC1ED1">
        <w:rPr>
          <w:rFonts w:eastAsia="Times New Roman" w:cs="Calibri"/>
          <w:b/>
          <w:color w:val="000000"/>
          <w:sz w:val="24"/>
          <w:szCs w:val="24"/>
          <w:lang w:eastAsia="tr-TR"/>
        </w:rPr>
        <w:t xml:space="preserve"> Piknik ve eğlence (</w:t>
      </w:r>
      <w:proofErr w:type="gramStart"/>
      <w:r w:rsidRPr="00EC1ED1">
        <w:rPr>
          <w:rFonts w:eastAsia="Times New Roman" w:cs="Calibri"/>
          <w:b/>
          <w:color w:val="000000"/>
          <w:sz w:val="24"/>
          <w:szCs w:val="24"/>
          <w:lang w:eastAsia="tr-TR"/>
        </w:rPr>
        <w:t>rekreasyon</w:t>
      </w:r>
      <w:proofErr w:type="gramEnd"/>
      <w:r w:rsidRPr="00EC1ED1">
        <w:rPr>
          <w:rFonts w:eastAsia="Times New Roman" w:cs="Calibri"/>
          <w:b/>
          <w:color w:val="000000"/>
          <w:sz w:val="24"/>
          <w:szCs w:val="24"/>
          <w:lang w:eastAsia="tr-TR"/>
        </w:rPr>
        <w:t>) alanları:</w:t>
      </w:r>
      <w:r w:rsidRPr="00EC1ED1">
        <w:rPr>
          <w:rFonts w:eastAsia="Times New Roman" w:cs="Calibri"/>
          <w:color w:val="000000"/>
          <w:sz w:val="24"/>
          <w:szCs w:val="24"/>
          <w:lang w:eastAsia="tr-TR"/>
        </w:rPr>
        <w:t xml:space="preserve"> Kentin açık ve yeşil alan ihtiyacı başta olmak üzere, eğlence, dinlenme, piknik ihtiyaçlarının karşılanabildiği, kent içinde ve çevresinde günübirlik kullanıma yönelik olarak imar planı ile belirlenmiş yerleri,</w:t>
      </w:r>
    </w:p>
    <w:p w:rsidR="00DE2E95" w:rsidRPr="00EC1ED1" w:rsidRDefault="00DE2E95" w:rsidP="00695B47">
      <w:pPr>
        <w:pStyle w:val="ListeParagraf"/>
        <w:numPr>
          <w:ilvl w:val="0"/>
          <w:numId w:val="3"/>
        </w:numPr>
        <w:spacing w:after="0" w:line="320" w:lineRule="exact"/>
        <w:ind w:left="454" w:firstLine="0"/>
        <w:jc w:val="both"/>
        <w:rPr>
          <w:color w:val="000000"/>
          <w:sz w:val="24"/>
          <w:szCs w:val="24"/>
        </w:rPr>
      </w:pPr>
      <w:r w:rsidRPr="00EC1ED1">
        <w:rPr>
          <w:rFonts w:eastAsia="Times New Roman" w:cs="Calibri"/>
          <w:b/>
          <w:bCs/>
          <w:color w:val="000000"/>
          <w:sz w:val="24"/>
          <w:szCs w:val="24"/>
          <w:lang w:eastAsia="tr-TR"/>
        </w:rPr>
        <w:t xml:space="preserve"> (</w:t>
      </w:r>
      <w:proofErr w:type="gramStart"/>
      <w:r w:rsidRPr="00EC1ED1">
        <w:rPr>
          <w:rFonts w:eastAsia="Times New Roman" w:cs="Calibri"/>
          <w:b/>
          <w:bCs/>
          <w:color w:val="000000"/>
          <w:sz w:val="24"/>
          <w:szCs w:val="24"/>
          <w:lang w:eastAsia="tr-TR"/>
        </w:rPr>
        <w:t>Ek:RG</w:t>
      </w:r>
      <w:proofErr w:type="gramEnd"/>
      <w:r w:rsidRPr="00EC1ED1">
        <w:rPr>
          <w:rFonts w:eastAsia="Times New Roman" w:cs="Calibri"/>
          <w:b/>
          <w:bCs/>
          <w:color w:val="000000"/>
          <w:sz w:val="24"/>
          <w:szCs w:val="24"/>
          <w:lang w:eastAsia="tr-TR"/>
        </w:rPr>
        <w:t>-01/3/2019-30701)</w:t>
      </w:r>
      <w:r w:rsidRPr="00EC1ED1">
        <w:rPr>
          <w:rFonts w:eastAsia="Times New Roman" w:cs="Calibri"/>
          <w:b/>
          <w:color w:val="000000"/>
          <w:sz w:val="24"/>
          <w:szCs w:val="24"/>
          <w:lang w:eastAsia="tr-TR"/>
        </w:rPr>
        <w:t>   Millet bahçeleri:</w:t>
      </w:r>
      <w:r w:rsidRPr="00EC1ED1">
        <w:rPr>
          <w:rFonts w:eastAsia="Times New Roman" w:cs="Calibri"/>
          <w:color w:val="000000"/>
          <w:sz w:val="24"/>
          <w:szCs w:val="24"/>
          <w:lang w:eastAsia="tr-TR"/>
        </w:rPr>
        <w:t xml:space="preserve"> Halkı doğa ile buluşturan, </w:t>
      </w:r>
      <w:proofErr w:type="spellStart"/>
      <w:r w:rsidRPr="00EC1ED1">
        <w:rPr>
          <w:rFonts w:eastAsia="Times New Roman" w:cs="Calibri"/>
          <w:color w:val="000000"/>
          <w:sz w:val="24"/>
          <w:szCs w:val="24"/>
          <w:lang w:eastAsia="tr-TR"/>
        </w:rPr>
        <w:t>rekreaktif</w:t>
      </w:r>
      <w:proofErr w:type="spellEnd"/>
      <w:r w:rsidRPr="00EC1ED1">
        <w:rPr>
          <w:rFonts w:eastAsia="Times New Roman" w:cs="Calibri"/>
          <w:color w:val="000000"/>
          <w:sz w:val="24"/>
          <w:szCs w:val="24"/>
          <w:lang w:eastAsia="tr-TR"/>
        </w:rPr>
        <w:t xml:space="preserve"> gereksinimleri karşılayan, afet anında kentin toplanma alanları olarak da kullanılabilecek, yer seçimi, alan büyüklüğü, fonksiyonları ve tasarımı gibi hususların Bakanlıkça hazırlanarak yürürlüğe konulacak Millet bahçeleri Rehberinde belirlendiği büyük yeşil alanları,” denilmektedir.</w:t>
      </w:r>
    </w:p>
    <w:p w:rsidR="00DE2E95" w:rsidRPr="00EC1ED1" w:rsidRDefault="00DE2E95" w:rsidP="00695B47">
      <w:pPr>
        <w:pStyle w:val="ListeParagraf"/>
        <w:spacing w:after="0" w:line="320" w:lineRule="exact"/>
        <w:ind w:left="0" w:firstLine="454"/>
        <w:jc w:val="both"/>
        <w:rPr>
          <w:rFonts w:eastAsia="Times New Roman" w:cs="Calibri"/>
          <w:color w:val="000000"/>
          <w:sz w:val="24"/>
          <w:szCs w:val="24"/>
          <w:lang w:eastAsia="tr-TR"/>
        </w:rPr>
      </w:pPr>
      <w:r w:rsidRPr="00EC1ED1">
        <w:rPr>
          <w:rFonts w:eastAsia="Times New Roman" w:cs="Calibri"/>
          <w:color w:val="000000"/>
          <w:sz w:val="24"/>
          <w:szCs w:val="24"/>
          <w:lang w:eastAsia="tr-TR"/>
        </w:rPr>
        <w:t>Anlaşılacağı üzere Millet bahçesi yapılaşması için Bakanlıkça hazırlanarak yürürlüğe konulacak Millet Bahçeleri Rehberine bakılması gerekmektedir. Bu rehber olmadan yapılan yapılaşma önerileri mevzuata uygun değildir.</w:t>
      </w:r>
    </w:p>
    <w:p w:rsidR="00DE2E95" w:rsidRPr="00EC1ED1" w:rsidRDefault="00DE2E95" w:rsidP="00695B47">
      <w:pPr>
        <w:pStyle w:val="ListeParagraf"/>
        <w:spacing w:after="0" w:line="320" w:lineRule="exact"/>
        <w:ind w:left="0" w:firstLine="454"/>
        <w:jc w:val="both"/>
        <w:rPr>
          <w:rFonts w:eastAsia="Times New Roman" w:cs="Calibri"/>
          <w:color w:val="000000"/>
          <w:sz w:val="24"/>
          <w:szCs w:val="24"/>
          <w:lang w:eastAsia="tr-TR"/>
        </w:rPr>
      </w:pPr>
      <w:r w:rsidRPr="00EC1ED1">
        <w:rPr>
          <w:rFonts w:eastAsia="Times New Roman" w:cs="Calibri"/>
          <w:color w:val="000000"/>
          <w:sz w:val="24"/>
          <w:szCs w:val="24"/>
          <w:lang w:eastAsia="tr-TR"/>
        </w:rPr>
        <w:t>Ayrıca; 19. Maddenin C</w:t>
      </w:r>
      <w:proofErr w:type="gramStart"/>
      <w:r w:rsidRPr="00EC1ED1">
        <w:rPr>
          <w:rFonts w:eastAsia="Times New Roman" w:cs="Calibri"/>
          <w:color w:val="000000"/>
          <w:sz w:val="24"/>
          <w:szCs w:val="24"/>
          <w:lang w:eastAsia="tr-TR"/>
        </w:rPr>
        <w:t>)</w:t>
      </w:r>
      <w:proofErr w:type="gramEnd"/>
      <w:r w:rsidRPr="00EC1ED1">
        <w:rPr>
          <w:rFonts w:eastAsia="Times New Roman" w:cs="Calibri"/>
          <w:color w:val="000000"/>
          <w:sz w:val="24"/>
          <w:szCs w:val="24"/>
          <w:lang w:eastAsia="tr-TR"/>
        </w:rPr>
        <w:t xml:space="preserve"> bendinin 4. şıkkında yapılaşama şöyle tarif edilmiştir:</w:t>
      </w:r>
    </w:p>
    <w:p w:rsidR="00DE2E95" w:rsidRPr="00EC1ED1" w:rsidRDefault="00DE2E95" w:rsidP="00695B47">
      <w:pPr>
        <w:pStyle w:val="ListeParagraf"/>
        <w:numPr>
          <w:ilvl w:val="0"/>
          <w:numId w:val="4"/>
        </w:numPr>
        <w:spacing w:after="0" w:line="320" w:lineRule="exact"/>
        <w:ind w:left="454" w:firstLine="0"/>
        <w:jc w:val="both"/>
        <w:rPr>
          <w:rFonts w:eastAsia="Times New Roman" w:cs="Calibri"/>
          <w:color w:val="000000"/>
          <w:sz w:val="24"/>
          <w:szCs w:val="24"/>
          <w:lang w:eastAsia="tr-TR"/>
        </w:rPr>
      </w:pPr>
      <w:r w:rsidRPr="00EC1ED1">
        <w:rPr>
          <w:rFonts w:eastAsia="Times New Roman" w:cs="Calibri"/>
          <w:color w:val="000000"/>
          <w:sz w:val="24"/>
          <w:szCs w:val="24"/>
          <w:lang w:eastAsia="tr-TR"/>
        </w:rPr>
        <w:t xml:space="preserve"> 10.000 m</w:t>
      </w:r>
      <w:r w:rsidRPr="00EC1ED1">
        <w:rPr>
          <w:rFonts w:eastAsia="Times New Roman" w:cs="Calibri"/>
          <w:color w:val="000000"/>
          <w:sz w:val="24"/>
          <w:szCs w:val="24"/>
          <w:vertAlign w:val="superscript"/>
          <w:lang w:eastAsia="tr-TR"/>
        </w:rPr>
        <w:t>2</w:t>
      </w:r>
      <w:r w:rsidRPr="00EC1ED1">
        <w:rPr>
          <w:rFonts w:eastAsia="Times New Roman" w:cs="Calibri"/>
          <w:color w:val="000000"/>
          <w:sz w:val="24"/>
          <w:szCs w:val="24"/>
          <w:lang w:eastAsia="tr-TR"/>
        </w:rPr>
        <w:t> üzerindeki parklarda, açık alanları dâhil taban alanları, (2) numaralı alt bentte belirtilenler de dâhil toplamda % 3’ü geçmemek üzere muvakkat yapı ölçülerini aşmayan mescit ile trafik güvenliği alınarak kamuya ait 112 acil ambulans istasyonu, yapılabilir, denilmektedir.</w:t>
      </w:r>
    </w:p>
    <w:p w:rsidR="00DE2E95" w:rsidRPr="00EC1ED1" w:rsidRDefault="00DE2E95" w:rsidP="00695B47">
      <w:pPr>
        <w:pStyle w:val="ListeParagraf"/>
        <w:spacing w:after="0" w:line="320" w:lineRule="exact"/>
        <w:ind w:left="0" w:firstLine="454"/>
        <w:jc w:val="both"/>
        <w:rPr>
          <w:rFonts w:eastAsia="Times New Roman" w:cs="Calibri"/>
          <w:color w:val="000000"/>
          <w:sz w:val="24"/>
          <w:szCs w:val="24"/>
          <w:lang w:eastAsia="tr-TR"/>
        </w:rPr>
      </w:pPr>
      <w:r w:rsidRPr="00EC1ED1">
        <w:rPr>
          <w:rFonts w:eastAsia="Times New Roman" w:cs="Calibri"/>
          <w:color w:val="000000"/>
          <w:sz w:val="24"/>
          <w:szCs w:val="24"/>
          <w:lang w:eastAsia="tr-TR"/>
        </w:rPr>
        <w:t xml:space="preserve">Dolayısıyla Millet Bahçeleri için yapılaşma koşullarına da yapılan </w:t>
      </w:r>
      <w:proofErr w:type="gramStart"/>
      <w:r w:rsidRPr="00EC1ED1">
        <w:rPr>
          <w:rFonts w:eastAsia="Times New Roman" w:cs="Calibri"/>
          <w:color w:val="000000"/>
          <w:sz w:val="24"/>
          <w:szCs w:val="24"/>
          <w:lang w:eastAsia="tr-TR"/>
        </w:rPr>
        <w:t>revizyon</w:t>
      </w:r>
      <w:proofErr w:type="gramEnd"/>
      <w:r w:rsidRPr="00EC1ED1">
        <w:rPr>
          <w:rFonts w:eastAsia="Times New Roman" w:cs="Calibri"/>
          <w:color w:val="000000"/>
          <w:sz w:val="24"/>
          <w:szCs w:val="24"/>
          <w:lang w:eastAsia="tr-TR"/>
        </w:rPr>
        <w:t xml:space="preserve"> plandaki yapılaşma önerileri uygun değildir.</w:t>
      </w:r>
    </w:p>
    <w:p w:rsidR="00DE2E95" w:rsidRPr="00EC1ED1" w:rsidRDefault="00DE2E95" w:rsidP="00695B47">
      <w:pPr>
        <w:pStyle w:val="ListeParagraf"/>
        <w:spacing w:after="0" w:line="320" w:lineRule="exact"/>
        <w:ind w:left="0" w:firstLine="454"/>
        <w:jc w:val="both"/>
        <w:rPr>
          <w:rFonts w:eastAsia="Times New Roman" w:cs="Calibri"/>
          <w:color w:val="000000"/>
          <w:sz w:val="24"/>
          <w:szCs w:val="24"/>
          <w:lang w:eastAsia="tr-TR"/>
        </w:rPr>
      </w:pPr>
      <w:r w:rsidRPr="00EC1ED1">
        <w:rPr>
          <w:rFonts w:eastAsia="Times New Roman" w:cs="Calibri"/>
          <w:color w:val="000000"/>
          <w:sz w:val="24"/>
          <w:szCs w:val="24"/>
          <w:lang w:eastAsia="tr-TR"/>
        </w:rPr>
        <w:t xml:space="preserve">Yukardaki gerekçelerden de anlaşılacağı üzere yapılan plan </w:t>
      </w:r>
      <w:proofErr w:type="gramStart"/>
      <w:r w:rsidRPr="00EC1ED1">
        <w:rPr>
          <w:rFonts w:eastAsia="Times New Roman" w:cs="Calibri"/>
          <w:color w:val="000000"/>
          <w:sz w:val="24"/>
          <w:szCs w:val="24"/>
          <w:lang w:eastAsia="tr-TR"/>
        </w:rPr>
        <w:t>revizyonu</w:t>
      </w:r>
      <w:proofErr w:type="gramEnd"/>
      <w:r w:rsidRPr="00EC1ED1">
        <w:rPr>
          <w:rFonts w:eastAsia="Times New Roman" w:cs="Calibri"/>
          <w:color w:val="000000"/>
          <w:sz w:val="24"/>
          <w:szCs w:val="24"/>
          <w:lang w:eastAsia="tr-TR"/>
        </w:rPr>
        <w:t xml:space="preserve"> İmar Kanunu, İmar Yönetmelikleri, Mekânsal Planlar Yapım Yönetmeliklerine ve ilgili diğer mevzuatlara aykırıdır.</w:t>
      </w:r>
    </w:p>
    <w:p w:rsidR="00DE2E95" w:rsidRDefault="00DE2E95" w:rsidP="00695B47">
      <w:pPr>
        <w:pStyle w:val="ListeParagraf"/>
        <w:spacing w:after="0" w:line="320" w:lineRule="exact"/>
        <w:ind w:left="0" w:firstLine="454"/>
        <w:jc w:val="both"/>
        <w:rPr>
          <w:rFonts w:eastAsia="Times New Roman" w:cs="Calibri"/>
          <w:color w:val="000000"/>
          <w:sz w:val="24"/>
          <w:szCs w:val="24"/>
          <w:lang w:eastAsia="tr-TR"/>
        </w:rPr>
      </w:pPr>
      <w:r w:rsidRPr="00EC1ED1">
        <w:rPr>
          <w:rFonts w:eastAsia="Times New Roman" w:cs="Calibri"/>
          <w:color w:val="000000"/>
          <w:sz w:val="24"/>
          <w:szCs w:val="24"/>
          <w:lang w:eastAsia="tr-TR"/>
        </w:rPr>
        <w:t>Öneri plana itiraz ediyoru</w:t>
      </w:r>
      <w:r>
        <w:rPr>
          <w:rFonts w:eastAsia="Times New Roman" w:cs="Calibri"/>
          <w:color w:val="000000"/>
          <w:sz w:val="24"/>
          <w:szCs w:val="24"/>
          <w:lang w:eastAsia="tr-TR"/>
        </w:rPr>
        <w:t>m</w:t>
      </w:r>
      <w:r w:rsidRPr="00EC1ED1">
        <w:rPr>
          <w:rFonts w:eastAsia="Times New Roman" w:cs="Calibri"/>
          <w:color w:val="000000"/>
          <w:sz w:val="24"/>
          <w:szCs w:val="24"/>
          <w:lang w:eastAsia="tr-TR"/>
        </w:rPr>
        <w:t>. Revizyon planın iptali için gereğini arz ederi</w:t>
      </w:r>
      <w:r>
        <w:rPr>
          <w:rFonts w:eastAsia="Times New Roman" w:cs="Calibri"/>
          <w:color w:val="000000"/>
          <w:sz w:val="24"/>
          <w:szCs w:val="24"/>
          <w:lang w:eastAsia="tr-TR"/>
        </w:rPr>
        <w:t>m</w:t>
      </w:r>
      <w:r w:rsidRPr="00EC1ED1">
        <w:rPr>
          <w:rFonts w:eastAsia="Times New Roman" w:cs="Calibri"/>
          <w:color w:val="000000"/>
          <w:sz w:val="24"/>
          <w:szCs w:val="24"/>
          <w:lang w:eastAsia="tr-TR"/>
        </w:rPr>
        <w:t>.</w:t>
      </w:r>
    </w:p>
    <w:p w:rsidR="00DE2E95" w:rsidRDefault="00DE2E95" w:rsidP="00695B47">
      <w:pPr>
        <w:pStyle w:val="ListeParagraf"/>
        <w:spacing w:after="0" w:line="320" w:lineRule="exact"/>
        <w:ind w:left="0" w:firstLine="454"/>
        <w:jc w:val="both"/>
        <w:rPr>
          <w:rFonts w:eastAsia="Times New Roman" w:cs="Calibri"/>
          <w:color w:val="000000"/>
          <w:sz w:val="24"/>
          <w:szCs w:val="24"/>
          <w:lang w:eastAsia="tr-TR"/>
        </w:rPr>
      </w:pPr>
    </w:p>
    <w:p w:rsidR="00695B47" w:rsidRDefault="00DE2E95" w:rsidP="00695B47">
      <w:pPr>
        <w:pStyle w:val="ListeParagraf"/>
        <w:spacing w:after="0" w:line="320" w:lineRule="exact"/>
        <w:ind w:left="0" w:firstLine="454"/>
        <w:rPr>
          <w:rFonts w:eastAsia="Times New Roman" w:cs="Calibri"/>
          <w:color w:val="000000"/>
          <w:sz w:val="24"/>
          <w:szCs w:val="24"/>
          <w:lang w:eastAsia="tr-TR"/>
        </w:rPr>
      </w:pPr>
      <w:r>
        <w:rPr>
          <w:rFonts w:eastAsia="Times New Roman" w:cs="Calibri"/>
          <w:color w:val="000000"/>
          <w:sz w:val="24"/>
          <w:szCs w:val="24"/>
          <w:lang w:eastAsia="tr-TR"/>
        </w:rPr>
        <w:t>Saygılarımla</w:t>
      </w:r>
    </w:p>
    <w:p w:rsidR="00695B47" w:rsidRDefault="00695B47" w:rsidP="00695B47">
      <w:pPr>
        <w:pStyle w:val="ListeParagraf"/>
        <w:spacing w:after="0" w:line="320" w:lineRule="exact"/>
        <w:ind w:left="0" w:firstLine="454"/>
        <w:rPr>
          <w:rFonts w:eastAsia="Times New Roman" w:cs="Calibri"/>
          <w:color w:val="000000"/>
          <w:sz w:val="24"/>
          <w:szCs w:val="24"/>
          <w:lang w:eastAsia="tr-TR"/>
        </w:rPr>
      </w:pPr>
    </w:p>
    <w:p w:rsidR="00695B47" w:rsidRDefault="00695B47" w:rsidP="00695B47">
      <w:pPr>
        <w:pStyle w:val="ListeParagraf"/>
        <w:spacing w:after="0" w:line="320" w:lineRule="exact"/>
        <w:ind w:left="0" w:firstLine="454"/>
        <w:rPr>
          <w:rFonts w:eastAsia="Times New Roman" w:cs="Calibri"/>
          <w:color w:val="000000"/>
          <w:sz w:val="24"/>
          <w:szCs w:val="24"/>
          <w:lang w:eastAsia="tr-TR"/>
        </w:rPr>
      </w:pPr>
    </w:p>
    <w:p w:rsidR="00695B47" w:rsidRDefault="00CF2352" w:rsidP="00695B47">
      <w:pPr>
        <w:pStyle w:val="ListeParagraf"/>
        <w:spacing w:after="0" w:line="320" w:lineRule="exact"/>
        <w:ind w:left="0" w:firstLine="454"/>
        <w:rPr>
          <w:rFonts w:eastAsia="Times New Roman" w:cs="Calibri"/>
          <w:color w:val="000000"/>
          <w:sz w:val="24"/>
          <w:szCs w:val="24"/>
          <w:lang w:eastAsia="tr-TR"/>
        </w:rPr>
      </w:pPr>
      <w:r w:rsidRPr="00CF2352">
        <w:rPr>
          <w:rFonts w:eastAsia="Times New Roman" w:cs="Calibri"/>
          <w:color w:val="000000"/>
          <w:sz w:val="24"/>
          <w:szCs w:val="24"/>
          <w:lang w:eastAsia="tr-TR"/>
        </w:rPr>
        <w:t xml:space="preserve">Adı </w:t>
      </w:r>
      <w:proofErr w:type="gramStart"/>
      <w:r w:rsidRPr="00CF2352">
        <w:rPr>
          <w:rFonts w:eastAsia="Times New Roman" w:cs="Calibri"/>
          <w:color w:val="000000"/>
          <w:sz w:val="24"/>
          <w:szCs w:val="24"/>
          <w:lang w:eastAsia="tr-TR"/>
        </w:rPr>
        <w:t>Soyadı  :</w:t>
      </w:r>
      <w:proofErr w:type="gramEnd"/>
    </w:p>
    <w:p w:rsidR="00695B47" w:rsidRDefault="00CF2352" w:rsidP="00695B47">
      <w:pPr>
        <w:pStyle w:val="ListeParagraf"/>
        <w:spacing w:after="0" w:line="320" w:lineRule="exact"/>
        <w:ind w:left="0" w:firstLine="454"/>
        <w:rPr>
          <w:rFonts w:eastAsia="Times New Roman" w:cs="Calibri"/>
          <w:color w:val="000000"/>
          <w:sz w:val="24"/>
          <w:szCs w:val="24"/>
          <w:lang w:eastAsia="tr-TR"/>
        </w:rPr>
      </w:pPr>
      <w:r w:rsidRPr="00CF2352">
        <w:rPr>
          <w:rFonts w:eastAsia="Times New Roman" w:cs="Calibri"/>
          <w:color w:val="000000"/>
          <w:sz w:val="24"/>
          <w:szCs w:val="24"/>
          <w:lang w:eastAsia="tr-TR"/>
        </w:rPr>
        <w:t xml:space="preserve">TC.             </w:t>
      </w:r>
      <w:r>
        <w:rPr>
          <w:rFonts w:eastAsia="Times New Roman" w:cs="Calibri"/>
          <w:color w:val="000000"/>
          <w:sz w:val="24"/>
          <w:szCs w:val="24"/>
          <w:lang w:eastAsia="tr-TR"/>
        </w:rPr>
        <w:t xml:space="preserve"> </w:t>
      </w:r>
      <w:r w:rsidRPr="00CF2352">
        <w:rPr>
          <w:rFonts w:eastAsia="Times New Roman" w:cs="Calibri"/>
          <w:color w:val="000000"/>
          <w:sz w:val="24"/>
          <w:szCs w:val="24"/>
          <w:lang w:eastAsia="tr-TR"/>
        </w:rPr>
        <w:t xml:space="preserve"> :</w:t>
      </w:r>
    </w:p>
    <w:p w:rsidR="00695B47" w:rsidRDefault="00CF2352" w:rsidP="00695B47">
      <w:pPr>
        <w:pStyle w:val="ListeParagraf"/>
        <w:spacing w:after="0" w:line="320" w:lineRule="exact"/>
        <w:ind w:left="0" w:firstLine="454"/>
        <w:rPr>
          <w:rFonts w:eastAsia="Times New Roman" w:cs="Calibri"/>
          <w:color w:val="000000"/>
          <w:sz w:val="24"/>
          <w:szCs w:val="24"/>
          <w:lang w:eastAsia="tr-TR"/>
        </w:rPr>
      </w:pPr>
      <w:proofErr w:type="gramStart"/>
      <w:r w:rsidRPr="00CF2352">
        <w:rPr>
          <w:rFonts w:eastAsia="Times New Roman" w:cs="Calibri"/>
          <w:color w:val="000000"/>
          <w:sz w:val="24"/>
          <w:szCs w:val="24"/>
          <w:lang w:eastAsia="tr-TR"/>
        </w:rPr>
        <w:t>İmza            :</w:t>
      </w:r>
      <w:proofErr w:type="gramEnd"/>
    </w:p>
    <w:p w:rsidR="00CF2352" w:rsidRPr="00695B47" w:rsidRDefault="00CF2352" w:rsidP="00695B47">
      <w:pPr>
        <w:pStyle w:val="ListeParagraf"/>
        <w:spacing w:after="0" w:line="320" w:lineRule="exact"/>
        <w:ind w:left="0" w:firstLine="454"/>
        <w:rPr>
          <w:rFonts w:eastAsia="Times New Roman" w:cs="Calibri"/>
          <w:color w:val="000000"/>
          <w:sz w:val="24"/>
          <w:szCs w:val="24"/>
          <w:lang w:eastAsia="tr-TR"/>
        </w:rPr>
      </w:pPr>
      <w:proofErr w:type="gramStart"/>
      <w:r w:rsidRPr="00695B47">
        <w:rPr>
          <w:rFonts w:eastAsia="Times New Roman" w:cs="Calibri"/>
          <w:color w:val="000000"/>
          <w:sz w:val="24"/>
          <w:szCs w:val="24"/>
          <w:lang w:eastAsia="tr-TR"/>
        </w:rPr>
        <w:t>Adres          :</w:t>
      </w:r>
      <w:proofErr w:type="gramEnd"/>
    </w:p>
    <w:p w:rsidR="00DE2E95" w:rsidRPr="00EC1ED1" w:rsidRDefault="00DE2E95" w:rsidP="00695B47">
      <w:pPr>
        <w:pStyle w:val="ListeParagraf"/>
        <w:spacing w:after="0" w:line="320" w:lineRule="exact"/>
        <w:ind w:left="0" w:firstLine="454"/>
        <w:rPr>
          <w:rFonts w:eastAsia="Times New Roman" w:cs="Calibri"/>
          <w:color w:val="000000"/>
          <w:sz w:val="24"/>
          <w:szCs w:val="24"/>
          <w:lang w:eastAsia="tr-TR"/>
        </w:rPr>
      </w:pPr>
    </w:p>
    <w:p w:rsidR="007A2CB9" w:rsidRDefault="007A2CB9" w:rsidP="00695B47">
      <w:pPr>
        <w:spacing w:line="320" w:lineRule="exact"/>
      </w:pPr>
    </w:p>
    <w:sectPr w:rsidR="007A2CB9" w:rsidSect="00DE2E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6A3"/>
    <w:multiLevelType w:val="hybridMultilevel"/>
    <w:tmpl w:val="2C5E81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BD345BC"/>
    <w:multiLevelType w:val="hybridMultilevel"/>
    <w:tmpl w:val="988E288E"/>
    <w:lvl w:ilvl="0" w:tplc="041F0011">
      <w:start w:val="4"/>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F933C34"/>
    <w:multiLevelType w:val="hybridMultilevel"/>
    <w:tmpl w:val="FBD01D80"/>
    <w:lvl w:ilvl="0" w:tplc="33B63E2A">
      <w:start w:val="1"/>
      <w:numFmt w:val="decimal"/>
      <w:lvlText w:val="%1."/>
      <w:lvlJc w:val="left"/>
      <w:pPr>
        <w:ind w:left="1068" w:hanging="360"/>
      </w:pPr>
      <w:rPr>
        <w:rFonts w:ascii="Calibri" w:eastAsia="Calibri" w:hAnsi="Calibri"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942121F"/>
    <w:multiLevelType w:val="hybridMultilevel"/>
    <w:tmpl w:val="CC8EDE08"/>
    <w:lvl w:ilvl="0" w:tplc="804454BC">
      <w:start w:val="1"/>
      <w:numFmt w:val="decimal"/>
      <w:lvlText w:val="%1)"/>
      <w:lvlJc w:val="left"/>
      <w:pPr>
        <w:ind w:left="927" w:hanging="360"/>
      </w:pPr>
      <w:rPr>
        <w:rFonts w:ascii="Calibri" w:eastAsia="Times New Roman" w:hAnsi="Calibri" w:cs="Calibri"/>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95"/>
    <w:rsid w:val="00695B47"/>
    <w:rsid w:val="007A2CB9"/>
    <w:rsid w:val="00CF2352"/>
    <w:rsid w:val="00DE2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B5D8B-C414-4B16-9F96-C78528F9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95"/>
    <w:pPr>
      <w:spacing w:after="0" w:line="240" w:lineRule="auto"/>
      <w:jc w:val="both"/>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E95"/>
    <w:pPr>
      <w:spacing w:after="160" w:line="259" w:lineRule="auto"/>
      <w:ind w:left="720"/>
      <w:contextualSpacing/>
      <w:jc w:val="left"/>
    </w:pPr>
    <w:rPr>
      <w:rFonts w:ascii="Calibri" w:eastAsia="Calibri" w:hAnsi="Calibri"/>
      <w:sz w:val="22"/>
      <w:szCs w:val="22"/>
      <w:lang w:eastAsia="en-US"/>
    </w:rPr>
  </w:style>
  <w:style w:type="paragraph" w:styleId="AralkYok">
    <w:name w:val="No Spacing"/>
    <w:uiPriority w:val="1"/>
    <w:qFormat/>
    <w:rsid w:val="00DE2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KRMYLKC</dc:creator>
  <cp:keywords/>
  <dc:description/>
  <cp:lastModifiedBy>User</cp:lastModifiedBy>
  <cp:revision>4</cp:revision>
  <dcterms:created xsi:type="dcterms:W3CDTF">2019-10-28T07:36:00Z</dcterms:created>
  <dcterms:modified xsi:type="dcterms:W3CDTF">2019-10-28T08:25:00Z</dcterms:modified>
</cp:coreProperties>
</file>